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INTERNAL AUDIT: PURCHASE FUNCTION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Audit Period: Q2 FY2025-26  |  Prepared by: Internal Audit Team  |  Scope: Purchase-to-Pay Process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Risk-Based Audit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43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259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Risk Area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Control to Test</w:t>
            </w:r>
          </w:p>
        </w:tc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Audit Procedure</w:t>
            </w:r>
          </w:p>
        </w:tc>
        <w:tc>
          <w:tcPr>
            <w:tcW w:type="dxa" w:w="100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Risk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Unauthorised vendor empanelment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All vendors approved by procurement head &amp; Finance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Verify vendor master — check approvals for last 20 new vendors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Duplicate vendor creation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No duplicate vendors with same GST/PAN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Run vendor report sorted by GSTIN — check duplicates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PO raised without budget approval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POs require budget head approval above Rs 1 lakh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Sample 25 POs &gt; Rs 1 lakh — verify budget approval trail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Three-way match not performed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GRN + Invoice + PO matched before payment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Sample 30 invoices — check PO, GRN, and invoice match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Payments without invoice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All payments linked to approved invoice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Run payment report — flag payments with no invoice ref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Split purchases to avoid approval limits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No series of POs &lt; Rs 1 lakh to same vendor in 30 days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Run vendor-wise PO analysis — flag split patterns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Medium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7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Related party transactions at non-arm's length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RPT disclosures and board approval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Cross-check vendor list vs director/KMP related entities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8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Goods not received but payment made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GRN mandatory before payment release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Sample 20 payments — verify GRN date precedes payment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High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9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Incorrect GST / ITC claim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Only legitimate ITC claimed on eligible purchases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GSTR-2B vs purchase register reconciliation — 3 months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Medium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10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Vendor advance without agreement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Advances only under valid contracts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Check all advances &gt; Rs 50k — verify underlying contract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Medium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11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Credit notes not applied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Credit notes from vendors recorded and applied</w:t>
            </w:r>
          </w:p>
        </w:tc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Aged creditor report — identify credit notes outstanding &gt; 60 days</w:t>
            </w:r>
          </w:p>
        </w:tc>
        <w:tc>
          <w:tcPr>
            <w:tcW w:type="dxa" w:w="1008"/>
            <w:shd w:fill="F5F7FA" w:val="clear"/>
          </w:tcPr>
          <w:p>
            <w:r/>
            <w:r>
              <w:rPr>
                <w:sz w:val="20"/>
              </w:rPr>
              <w:t>Low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12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Emergency purchase bypass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Emergency POs require post-hoc approval</w:t>
            </w:r>
          </w:p>
        </w:tc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Check bypass POs — verify approvals received within 48 hrs</w:t>
            </w:r>
          </w:p>
        </w:tc>
        <w:tc>
          <w:tcPr>
            <w:tcW w:type="dxa" w:w="1008"/>
            <w:shd w:fill="FFFFFF" w:val="clear"/>
          </w:tcPr>
          <w:p>
            <w:r/>
            <w:r>
              <w:rPr>
                <w:sz w:val="20"/>
              </w:rPr>
              <w:t>Medium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Sampling Approach</w:t>
      </w:r>
    </w:p>
    <w:p>
      <w:pPr>
        <w:pStyle w:val="ListBullet"/>
        <w:spacing w:after="60"/>
      </w:pPr>
      <w:r>
        <w:rPr>
          <w:b w:val="0"/>
          <w:sz w:val="22"/>
        </w:rPr>
        <w:t>High risk items: 100% coverage or minimum 30 transactions, whichever is lower</w:t>
      </w:r>
    </w:p>
    <w:p>
      <w:pPr>
        <w:pStyle w:val="ListBullet"/>
        <w:spacing w:after="60"/>
      </w:pPr>
      <w:r>
        <w:rPr>
          <w:b w:val="0"/>
          <w:sz w:val="22"/>
        </w:rPr>
        <w:t>Medium risk items: 20 transactions or 5% of population, whichever is higher</w:t>
      </w:r>
    </w:p>
    <w:p>
      <w:pPr>
        <w:pStyle w:val="ListBullet"/>
        <w:spacing w:after="60"/>
      </w:pPr>
      <w:r>
        <w:rPr>
          <w:b w:val="0"/>
          <w:sz w:val="22"/>
        </w:rPr>
        <w:t>Low risk items: 10 transactions or 2% of population</w:t>
      </w:r>
    </w:p>
    <w:p>
      <w:pPr>
        <w:spacing w:before="200" w:after="80"/>
      </w:pPr>
      <w:r>
        <w:rPr>
          <w:b/>
          <w:color w:val="2B7CB8"/>
          <w:sz w:val="26"/>
        </w:rPr>
        <w:t>Documents to Request from Management</w:t>
      </w:r>
    </w:p>
    <w:p>
      <w:pPr>
        <w:pStyle w:val="ListBullet"/>
        <w:spacing w:after="60"/>
      </w:pPr>
      <w:r>
        <w:rPr>
          <w:b w:val="0"/>
          <w:sz w:val="22"/>
        </w:rPr>
        <w:t>Vendor master list (as at audit date)</w:t>
      </w:r>
    </w:p>
    <w:p>
      <w:pPr>
        <w:pStyle w:val="ListBullet"/>
        <w:spacing w:after="60"/>
      </w:pPr>
      <w:r>
        <w:rPr>
          <w:b w:val="0"/>
          <w:sz w:val="22"/>
        </w:rPr>
        <w:t>PO register for the period with approval status</w:t>
      </w:r>
    </w:p>
    <w:p>
      <w:pPr>
        <w:pStyle w:val="ListBullet"/>
        <w:spacing w:after="60"/>
      </w:pPr>
      <w:r>
        <w:rPr>
          <w:b w:val="0"/>
          <w:sz w:val="22"/>
        </w:rPr>
        <w:t>GRN register and goods receipt report</w:t>
      </w:r>
    </w:p>
    <w:p>
      <w:pPr>
        <w:pStyle w:val="ListBullet"/>
        <w:spacing w:after="60"/>
      </w:pPr>
      <w:r>
        <w:rPr>
          <w:b w:val="0"/>
          <w:sz w:val="22"/>
        </w:rPr>
        <w:t>Payment run details with invoice linkage</w:t>
      </w:r>
    </w:p>
    <w:p>
      <w:pPr>
        <w:pStyle w:val="ListBullet"/>
        <w:spacing w:after="60"/>
      </w:pPr>
      <w:r>
        <w:rPr>
          <w:b w:val="0"/>
          <w:sz w:val="22"/>
        </w:rPr>
        <w:t>Aged creditor report as at 30 September 2025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